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华文中宋" w:eastAsia="华文中宋" w:cs="华文中宋"/>
          <w:b/>
          <w:bCs/>
          <w:color w:val="000000"/>
          <w:sz w:val="36"/>
          <w:szCs w:val="36"/>
        </w:rPr>
      </w:pPr>
      <w:r>
        <w:rPr>
          <w:rFonts w:hint="eastAsia" w:ascii="华文中宋" w:eastAsia="华文中宋" w:cs="华文中宋"/>
          <w:b/>
          <w:bCs/>
          <w:color w:val="000000"/>
          <w:sz w:val="36"/>
          <w:szCs w:val="36"/>
        </w:rPr>
        <w:t>诉讼费用退费</w:t>
      </w:r>
      <w:r>
        <w:rPr>
          <w:rFonts w:hint="eastAsia" w:ascii="华文中宋" w:eastAsia="华文中宋" w:cs="华文中宋"/>
          <w:b/>
          <w:bCs/>
          <w:color w:val="000000"/>
          <w:sz w:val="36"/>
          <w:szCs w:val="36"/>
          <w:lang w:eastAsia="zh-CN"/>
        </w:rPr>
        <w:t>及自动履行</w:t>
      </w:r>
      <w:r>
        <w:rPr>
          <w:rFonts w:hint="eastAsia" w:ascii="华文中宋" w:eastAsia="华文中宋" w:cs="华文中宋"/>
          <w:b/>
          <w:bCs/>
          <w:color w:val="000000"/>
          <w:sz w:val="36"/>
          <w:szCs w:val="36"/>
        </w:rPr>
        <w:t>银行账户确认书</w:t>
      </w:r>
    </w:p>
    <w:tbl>
      <w:tblPr>
        <w:tblStyle w:val="4"/>
        <w:tblW w:w="92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8"/>
        <w:gridCol w:w="1889"/>
        <w:gridCol w:w="728"/>
        <w:gridCol w:w="2727"/>
        <w:gridCol w:w="3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vAlign w:val="center"/>
          </w:tcPr>
          <w:p>
            <w:pPr>
              <w:jc w:val="center"/>
              <w:rPr>
                <w:rFonts w:ascii="宋体"/>
                <w:b/>
                <w:bCs/>
                <w:sz w:val="28"/>
                <w:szCs w:val="28"/>
              </w:rPr>
            </w:pPr>
            <w:r>
              <w:rPr>
                <w:rFonts w:hint="eastAsia" w:ascii="宋体" w:cs="仿宋_GB2312"/>
                <w:b/>
                <w:bCs/>
                <w:sz w:val="28"/>
                <w:szCs w:val="28"/>
              </w:rPr>
              <w:t>案号</w:t>
            </w:r>
          </w:p>
        </w:tc>
        <w:tc>
          <w:tcPr>
            <w:tcW w:w="8394" w:type="dxa"/>
            <w:gridSpan w:val="4"/>
            <w:tcBorders>
              <w:top w:val="single" w:color="auto" w:sz="4" w:space="0"/>
              <w:left w:val="single" w:color="auto" w:sz="4" w:space="0"/>
              <w:bottom w:val="single" w:color="auto" w:sz="4" w:space="0"/>
              <w:right w:val="single" w:color="auto" w:sz="4" w:space="0"/>
            </w:tcBorders>
          </w:tcPr>
          <w:p>
            <w:pPr>
              <w:rPr>
                <w:rFonts w:hint="default" w:ascii="宋体" w:eastAsia="宋体"/>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vAlign w:val="center"/>
          </w:tcPr>
          <w:p>
            <w:pPr>
              <w:jc w:val="center"/>
              <w:rPr>
                <w:rFonts w:ascii="宋体"/>
                <w:b/>
                <w:bCs/>
                <w:sz w:val="28"/>
                <w:szCs w:val="28"/>
              </w:rPr>
            </w:pPr>
            <w:r>
              <w:rPr>
                <w:rFonts w:hint="eastAsia" w:ascii="宋体" w:cs="仿宋_GB2312"/>
                <w:b/>
                <w:bCs/>
                <w:sz w:val="28"/>
                <w:szCs w:val="28"/>
              </w:rPr>
              <w:t>案由</w:t>
            </w:r>
          </w:p>
        </w:tc>
        <w:tc>
          <w:tcPr>
            <w:tcW w:w="8394" w:type="dxa"/>
            <w:gridSpan w:val="4"/>
            <w:tcBorders>
              <w:top w:val="single" w:color="auto" w:sz="4" w:space="0"/>
              <w:left w:val="single" w:color="auto" w:sz="4" w:space="0"/>
              <w:bottom w:val="single" w:color="auto" w:sz="4" w:space="0"/>
              <w:right w:val="single" w:color="auto" w:sz="4" w:space="0"/>
            </w:tcBorders>
          </w:tcPr>
          <w:p>
            <w:pPr>
              <w:rPr>
                <w:rFonts w:hint="default" w:ascii="宋体" w:eastAsia="宋体"/>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73" w:hRule="atLeast"/>
          <w:jc w:val="center"/>
        </w:trPr>
        <w:tc>
          <w:tcPr>
            <w:tcW w:w="868" w:type="dxa"/>
            <w:tcBorders>
              <w:top w:val="single" w:color="auto" w:sz="4" w:space="0"/>
              <w:left w:val="single" w:color="auto" w:sz="4" w:space="0"/>
              <w:bottom w:val="single" w:color="auto" w:sz="4" w:space="0"/>
              <w:right w:val="single" w:color="auto" w:sz="4" w:space="0"/>
            </w:tcBorders>
            <w:textDirection w:val="tbRlV"/>
            <w:vAlign w:val="center"/>
          </w:tcPr>
          <w:p>
            <w:pPr>
              <w:ind w:left="113" w:right="113"/>
              <w:jc w:val="center"/>
              <w:rPr>
                <w:rFonts w:ascii="宋体"/>
                <w:b/>
                <w:bCs/>
                <w:sz w:val="28"/>
                <w:szCs w:val="28"/>
              </w:rPr>
            </w:pPr>
            <w:r>
              <w:rPr>
                <w:rFonts w:hint="eastAsia" w:ascii="宋体" w:cs="仿宋_GB2312"/>
                <w:b/>
                <w:bCs/>
                <w:sz w:val="28"/>
                <w:szCs w:val="28"/>
              </w:rPr>
              <w:t>告  知  事  项</w:t>
            </w:r>
          </w:p>
        </w:tc>
        <w:tc>
          <w:tcPr>
            <w:tcW w:w="8394" w:type="dxa"/>
            <w:gridSpan w:val="4"/>
            <w:tcBorders>
              <w:top w:val="single" w:color="auto" w:sz="4" w:space="0"/>
              <w:left w:val="single" w:color="auto" w:sz="4" w:space="0"/>
              <w:bottom w:val="single" w:color="auto" w:sz="4" w:space="0"/>
              <w:right w:val="single" w:color="auto" w:sz="4" w:space="0"/>
            </w:tcBorders>
            <w:vAlign w:val="center"/>
          </w:tcPr>
          <w:p>
            <w:pPr>
              <w:numPr>
                <w:ilvl w:val="0"/>
                <w:numId w:val="1"/>
              </w:numPr>
              <w:adjustRightInd w:val="0"/>
              <w:snapToGrid w:val="0"/>
              <w:spacing w:line="300" w:lineRule="exact"/>
              <w:ind w:firstLine="420" w:firstLineChars="200"/>
              <w:rPr>
                <w:rFonts w:ascii="宋体" w:cs="仿宋_GB2312"/>
              </w:rPr>
            </w:pPr>
            <w:r>
              <w:rPr>
                <w:rFonts w:ascii="宋体" w:cs="仿宋_GB2312"/>
              </w:rPr>
              <w:t>为便于当事人及时收到人民法院退还的诉讼费用，当事人应如实提供用于接收诉讼费用退费的本人银行账户；当事人在境内无账户的，应提供经公证授权的境内账户。</w:t>
            </w:r>
          </w:p>
          <w:p>
            <w:pPr>
              <w:numPr>
                <w:ilvl w:val="0"/>
                <w:numId w:val="1"/>
              </w:numPr>
              <w:adjustRightInd w:val="0"/>
              <w:snapToGrid w:val="0"/>
              <w:spacing w:line="300" w:lineRule="exact"/>
              <w:ind w:firstLine="420" w:firstLineChars="200"/>
              <w:rPr>
                <w:rFonts w:ascii="宋体" w:cs="仿宋_GB2312"/>
                <w:b w:val="0"/>
                <w:bCs w:val="0"/>
                <w:color w:val="auto"/>
              </w:rPr>
            </w:pPr>
            <w:r>
              <w:rPr>
                <w:rFonts w:hint="eastAsia" w:ascii="宋体" w:cs="仿宋_GB2312"/>
                <w:b w:val="0"/>
                <w:bCs w:val="0"/>
                <w:color w:val="auto"/>
                <w:lang w:eastAsia="zh-CN"/>
              </w:rPr>
              <w:t>为便于债务人自动履行义务，债权人可自愿选择将该账户信息用于债务人履行债务。经债权人同意，法院将该《诉讼费用退费及自动履行银行账户确认书》复印件与裁判文书一并送达债务人。债务人将生效裁判文书中所确定的给付金钱义务的款项</w:t>
            </w:r>
            <w:r>
              <w:rPr>
                <w:rFonts w:hint="default" w:ascii="宋体" w:cs="仿宋_GB2312"/>
                <w:b w:val="0"/>
                <w:bCs w:val="0"/>
                <w:color w:val="auto"/>
                <w:lang w:val="en" w:eastAsia="zh-CN"/>
              </w:rPr>
              <w:t>转</w:t>
            </w:r>
            <w:r>
              <w:rPr>
                <w:rFonts w:hint="eastAsia" w:ascii="宋体" w:cs="仿宋_GB2312"/>
                <w:b w:val="0"/>
                <w:bCs w:val="0"/>
                <w:color w:val="auto"/>
                <w:lang w:val="en" w:eastAsia="zh-CN"/>
              </w:rPr>
              <w:t>（</w:t>
            </w:r>
            <w:r>
              <w:rPr>
                <w:rFonts w:hint="eastAsia" w:ascii="宋体" w:cs="仿宋_GB2312"/>
                <w:b w:val="0"/>
                <w:bCs w:val="0"/>
                <w:color w:val="auto"/>
                <w:lang w:eastAsia="zh-CN"/>
              </w:rPr>
              <w:t>汇）</w:t>
            </w:r>
            <w:r>
              <w:rPr>
                <w:rFonts w:hint="default" w:ascii="宋体" w:cs="仿宋_GB2312"/>
                <w:b w:val="0"/>
                <w:bCs w:val="0"/>
                <w:color w:val="auto"/>
                <w:lang w:val="en" w:eastAsia="zh-CN"/>
              </w:rPr>
              <w:t>入该</w:t>
            </w:r>
            <w:r>
              <w:rPr>
                <w:rFonts w:hint="eastAsia" w:ascii="宋体" w:cs="仿宋_GB2312"/>
                <w:b w:val="0"/>
                <w:bCs w:val="0"/>
                <w:color w:val="auto"/>
                <w:lang w:eastAsia="zh-CN"/>
              </w:rPr>
              <w:t>银行账户即视为履行。</w:t>
            </w:r>
          </w:p>
          <w:p>
            <w:pPr>
              <w:adjustRightInd w:val="0"/>
              <w:snapToGrid w:val="0"/>
              <w:spacing w:line="300" w:lineRule="exact"/>
              <w:ind w:firstLine="420" w:firstLineChars="200"/>
              <w:rPr>
                <w:rFonts w:ascii="宋体"/>
              </w:rPr>
            </w:pPr>
            <w:r>
              <w:rPr>
                <w:rFonts w:hint="eastAsia" w:ascii="宋体" w:cs="仿宋_GB2312"/>
                <w:lang w:val="en-US" w:eastAsia="zh-CN"/>
              </w:rPr>
              <w:t>3</w:t>
            </w:r>
            <w:r>
              <w:rPr>
                <w:rFonts w:ascii="宋体" w:cs="仿宋_GB2312"/>
              </w:rPr>
              <w:t>、为保障当事人合法权益，应当填写《诉讼费用退费</w:t>
            </w:r>
            <w:r>
              <w:rPr>
                <w:rFonts w:hint="eastAsia" w:ascii="宋体" w:cs="仿宋_GB2312"/>
                <w:lang w:eastAsia="zh-CN"/>
              </w:rPr>
              <w:t>及自</w:t>
            </w:r>
            <w:bookmarkStart w:id="0" w:name="_GoBack"/>
            <w:bookmarkEnd w:id="0"/>
            <w:r>
              <w:rPr>
                <w:rFonts w:hint="eastAsia" w:ascii="宋体" w:cs="仿宋_GB2312"/>
                <w:lang w:eastAsia="zh-CN"/>
              </w:rPr>
              <w:t>动履行</w:t>
            </w:r>
            <w:r>
              <w:rPr>
                <w:rFonts w:ascii="宋体" w:cs="仿宋_GB2312"/>
              </w:rPr>
              <w:t>银行账户确认书》，并由本人或经其授权的代理人签字确认，有多个当事人的，应由全部当事人或经其授权的代理人签字确认。</w:t>
            </w:r>
          </w:p>
          <w:p>
            <w:pPr>
              <w:adjustRightInd w:val="0"/>
              <w:snapToGrid w:val="0"/>
              <w:spacing w:line="300" w:lineRule="exact"/>
              <w:ind w:firstLine="420" w:firstLineChars="200"/>
              <w:rPr>
                <w:rFonts w:ascii="宋体"/>
              </w:rPr>
            </w:pPr>
            <w:r>
              <w:rPr>
                <w:rFonts w:hint="eastAsia" w:ascii="宋体" w:cs="仿宋_GB2312"/>
                <w:lang w:val="en-US" w:eastAsia="zh-CN"/>
              </w:rPr>
              <w:t>4</w:t>
            </w:r>
            <w:r>
              <w:rPr>
                <w:rFonts w:ascii="宋体" w:cs="仿宋_GB2312"/>
              </w:rPr>
              <w:t>、本确认书确认的诉讼费用退费</w:t>
            </w:r>
            <w:r>
              <w:rPr>
                <w:rFonts w:hint="eastAsia" w:ascii="宋体" w:cs="仿宋_GB2312"/>
                <w:lang w:eastAsia="zh-CN"/>
              </w:rPr>
              <w:t>及自动履行</w:t>
            </w:r>
            <w:r>
              <w:rPr>
                <w:rFonts w:ascii="宋体" w:cs="仿宋_GB2312"/>
              </w:rPr>
              <w:t>银行账户适用该案件一审、二审、再审。银行账户需变更的，应当重新填写《诉讼费用退费</w:t>
            </w:r>
            <w:r>
              <w:rPr>
                <w:rFonts w:hint="eastAsia" w:ascii="宋体" w:cs="仿宋_GB2312"/>
                <w:lang w:eastAsia="zh-CN"/>
              </w:rPr>
              <w:t>及自动履行</w:t>
            </w:r>
            <w:r>
              <w:rPr>
                <w:rFonts w:ascii="宋体" w:cs="仿宋_GB2312"/>
              </w:rPr>
              <w:t>银行账户确认书》。</w:t>
            </w:r>
          </w:p>
          <w:p>
            <w:pPr>
              <w:adjustRightInd w:val="0"/>
              <w:snapToGrid w:val="0"/>
              <w:spacing w:line="300" w:lineRule="exact"/>
              <w:ind w:firstLine="420" w:firstLineChars="200"/>
              <w:rPr>
                <w:rFonts w:ascii="宋体" w:cs="仿宋_GB2312"/>
              </w:rPr>
            </w:pPr>
            <w:r>
              <w:rPr>
                <w:rFonts w:hint="eastAsia" w:ascii="宋体" w:cs="仿宋_GB2312"/>
                <w:lang w:val="en-US" w:eastAsia="zh-CN"/>
              </w:rPr>
              <w:t>5</w:t>
            </w:r>
            <w:r>
              <w:rPr>
                <w:rFonts w:hint="eastAsia" w:ascii="宋体" w:cs="仿宋_GB2312"/>
              </w:rPr>
              <w:t>、如果提供的银行账户不正确，或者未及时告知变更后的诉讼费退费</w:t>
            </w:r>
            <w:r>
              <w:rPr>
                <w:rFonts w:hint="eastAsia" w:ascii="宋体" w:cs="仿宋_GB2312"/>
                <w:lang w:eastAsia="zh-CN"/>
              </w:rPr>
              <w:t>及自动履行</w:t>
            </w:r>
            <w:r>
              <w:rPr>
                <w:rFonts w:hint="eastAsia" w:ascii="宋体" w:cs="仿宋_GB2312"/>
              </w:rPr>
              <w:t>银行账户，当事人应自行承担由此可能产生的后果。</w:t>
            </w:r>
          </w:p>
          <w:p>
            <w:pPr>
              <w:adjustRightInd w:val="0"/>
              <w:snapToGrid w:val="0"/>
              <w:spacing w:line="300" w:lineRule="exact"/>
              <w:ind w:firstLine="420" w:firstLineChars="200"/>
              <w:rPr>
                <w:rFonts w:ascii="宋体"/>
                <w:sz w:val="32"/>
                <w:szCs w:val="32"/>
              </w:rPr>
            </w:pPr>
            <w:r>
              <w:rPr>
                <w:rFonts w:hint="eastAsia" w:ascii="宋体" w:cs="仿宋_GB2312"/>
                <w:lang w:val="en-US" w:eastAsia="zh-CN"/>
              </w:rPr>
              <w:t>6</w:t>
            </w:r>
            <w:r>
              <w:rPr>
                <w:rFonts w:hint="eastAsia" w:ascii="宋体" w:cs="仿宋_GB2312"/>
              </w:rPr>
              <w:t>、经当事人授权委托，可由代理人填写《诉讼费用退费</w:t>
            </w:r>
            <w:r>
              <w:rPr>
                <w:rFonts w:hint="eastAsia" w:ascii="宋体" w:cs="仿宋_GB2312"/>
                <w:lang w:eastAsia="zh-CN"/>
              </w:rPr>
              <w:t>及自动履行</w:t>
            </w:r>
            <w:r>
              <w:rPr>
                <w:rFonts w:hint="eastAsia" w:ascii="宋体" w:cs="仿宋_GB2312"/>
              </w:rPr>
              <w:t>银行账户确认书》并签字确认。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868"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b/>
                <w:bCs/>
                <w:sz w:val="28"/>
                <w:szCs w:val="28"/>
              </w:rPr>
            </w:pPr>
            <w:r>
              <w:rPr>
                <w:rFonts w:hint="eastAsia" w:ascii="宋体" w:cs="仿宋_GB2312"/>
                <w:b/>
                <w:bCs/>
                <w:sz w:val="28"/>
                <w:szCs w:val="28"/>
              </w:rPr>
              <w:t>银行</w:t>
            </w:r>
          </w:p>
          <w:p>
            <w:pPr>
              <w:adjustRightInd w:val="0"/>
              <w:snapToGrid w:val="0"/>
              <w:jc w:val="center"/>
              <w:rPr>
                <w:rFonts w:ascii="宋体"/>
                <w:sz w:val="28"/>
                <w:szCs w:val="28"/>
              </w:rPr>
            </w:pPr>
            <w:r>
              <w:rPr>
                <w:rFonts w:hint="eastAsia" w:ascii="宋体" w:cs="仿宋_GB2312"/>
                <w:b/>
                <w:bCs/>
                <w:sz w:val="28"/>
                <w:szCs w:val="28"/>
              </w:rPr>
              <w:t>账户</w:t>
            </w:r>
          </w:p>
        </w:tc>
        <w:tc>
          <w:tcPr>
            <w:tcW w:w="188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bCs/>
              </w:rPr>
            </w:pPr>
            <w:r>
              <w:rPr>
                <w:rFonts w:hint="eastAsia" w:ascii="宋体" w:cs="仿宋_GB2312"/>
                <w:bCs/>
              </w:rPr>
              <w:t>当 事 人</w:t>
            </w:r>
          </w:p>
        </w:tc>
        <w:tc>
          <w:tcPr>
            <w:tcW w:w="6505"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宋体" w:eastAsia="宋体"/>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868" w:type="dxa"/>
            <w:vMerge w:val="continue"/>
            <w:tcBorders>
              <w:top w:val="single" w:color="auto" w:sz="4" w:space="0"/>
              <w:left w:val="single" w:color="auto" w:sz="4" w:space="0"/>
              <w:bottom w:val="single" w:color="auto" w:sz="4" w:space="0"/>
              <w:right w:val="single" w:color="auto" w:sz="4" w:space="0"/>
            </w:tcBorders>
            <w:vAlign w:val="center"/>
          </w:tcPr>
          <w:p/>
        </w:tc>
        <w:tc>
          <w:tcPr>
            <w:tcW w:w="188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bCs/>
              </w:rPr>
            </w:pPr>
            <w:r>
              <w:rPr>
                <w:rFonts w:hint="eastAsia" w:ascii="宋体" w:cs="仿宋_GB2312"/>
                <w:bCs/>
              </w:rPr>
              <w:t>联系方式</w:t>
            </w:r>
          </w:p>
        </w:tc>
        <w:tc>
          <w:tcPr>
            <w:tcW w:w="6505"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宋体" w:eastAsia="宋体"/>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68" w:type="dxa"/>
            <w:vMerge w:val="continue"/>
            <w:tcBorders>
              <w:top w:val="single" w:color="auto" w:sz="4" w:space="0"/>
              <w:left w:val="single" w:color="auto" w:sz="4" w:space="0"/>
              <w:bottom w:val="single" w:color="auto" w:sz="4" w:space="0"/>
              <w:right w:val="single" w:color="auto" w:sz="4" w:space="0"/>
            </w:tcBorders>
            <w:vAlign w:val="center"/>
          </w:tcPr>
          <w:p/>
        </w:tc>
        <w:tc>
          <w:tcPr>
            <w:tcW w:w="261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bCs/>
              </w:rPr>
            </w:pPr>
            <w:r>
              <w:rPr>
                <w:rFonts w:hint="eastAsia" w:ascii="宋体" w:cs="仿宋_GB2312"/>
                <w:bCs/>
              </w:rPr>
              <w:t>开户名称</w:t>
            </w:r>
          </w:p>
        </w:tc>
        <w:tc>
          <w:tcPr>
            <w:tcW w:w="272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bCs/>
              </w:rPr>
            </w:pPr>
            <w:r>
              <w:rPr>
                <w:rFonts w:hint="eastAsia" w:ascii="宋体" w:cs="仿宋_GB2312"/>
                <w:bCs/>
              </w:rPr>
              <w:t>开户银行</w:t>
            </w:r>
          </w:p>
        </w:tc>
        <w:tc>
          <w:tcPr>
            <w:tcW w:w="305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bCs/>
              </w:rPr>
            </w:pPr>
            <w:r>
              <w:rPr>
                <w:rFonts w:hint="eastAsia" w:ascii="宋体" w:cs="仿宋_GB2312"/>
                <w:bCs/>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868" w:type="dxa"/>
            <w:vMerge w:val="continue"/>
            <w:tcBorders>
              <w:top w:val="single" w:color="auto" w:sz="4" w:space="0"/>
              <w:left w:val="single" w:color="auto" w:sz="4" w:space="0"/>
              <w:bottom w:val="single" w:color="auto" w:sz="4" w:space="0"/>
              <w:right w:val="single" w:color="auto" w:sz="4" w:space="0"/>
            </w:tcBorders>
          </w:tcPr>
          <w:p/>
        </w:tc>
        <w:tc>
          <w:tcPr>
            <w:tcW w:w="2617" w:type="dxa"/>
            <w:gridSpan w:val="2"/>
            <w:tcBorders>
              <w:top w:val="single" w:color="auto" w:sz="4" w:space="0"/>
              <w:left w:val="single" w:color="auto" w:sz="4" w:space="0"/>
              <w:bottom w:val="single" w:color="auto" w:sz="4" w:space="0"/>
              <w:right w:val="single" w:color="auto" w:sz="4" w:space="0"/>
            </w:tcBorders>
          </w:tcPr>
          <w:p>
            <w:pPr>
              <w:rPr>
                <w:rFonts w:hint="default" w:ascii="宋体"/>
                <w:sz w:val="32"/>
                <w:szCs w:val="32"/>
                <w:lang w:val="en-US"/>
              </w:rPr>
            </w:pPr>
          </w:p>
        </w:tc>
        <w:tc>
          <w:tcPr>
            <w:tcW w:w="2727" w:type="dxa"/>
            <w:tcBorders>
              <w:top w:val="single" w:color="auto" w:sz="4" w:space="0"/>
              <w:left w:val="single" w:color="auto" w:sz="4" w:space="0"/>
              <w:bottom w:val="single" w:color="auto" w:sz="4" w:space="0"/>
              <w:right w:val="single" w:color="auto" w:sz="4" w:space="0"/>
            </w:tcBorders>
          </w:tcPr>
          <w:p>
            <w:pPr>
              <w:rPr>
                <w:rFonts w:hint="default" w:ascii="宋体"/>
                <w:sz w:val="32"/>
                <w:szCs w:val="32"/>
                <w:lang w:val="en-US"/>
              </w:rPr>
            </w:pPr>
          </w:p>
        </w:tc>
        <w:tc>
          <w:tcPr>
            <w:tcW w:w="3050" w:type="dxa"/>
            <w:tcBorders>
              <w:top w:val="single" w:color="auto" w:sz="4" w:space="0"/>
              <w:left w:val="single" w:color="auto" w:sz="4" w:space="0"/>
              <w:bottom w:val="single" w:color="auto" w:sz="4" w:space="0"/>
              <w:right w:val="single" w:color="auto" w:sz="4" w:space="0"/>
            </w:tcBorders>
          </w:tcPr>
          <w:p>
            <w:pPr>
              <w:rPr>
                <w:rFonts w:hint="default" w:ascii="宋体"/>
                <w:sz w:val="32"/>
                <w:szCs w:val="3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8" w:hRule="atLeast"/>
          <w:jc w:val="center"/>
        </w:trPr>
        <w:tc>
          <w:tcPr>
            <w:tcW w:w="9262" w:type="dxa"/>
            <w:gridSpan w:val="5"/>
            <w:tcBorders>
              <w:top w:val="single" w:color="auto" w:sz="4" w:space="0"/>
              <w:left w:val="single" w:color="auto" w:sz="4" w:space="0"/>
              <w:bottom w:val="single" w:color="auto" w:sz="4" w:space="0"/>
              <w:right w:val="single" w:color="auto" w:sz="4" w:space="0"/>
            </w:tcBorders>
            <w:vAlign w:val="center"/>
          </w:tcPr>
          <w:p>
            <w:pPr>
              <w:widowControl/>
              <w:numPr>
                <w:ilvl w:val="0"/>
                <w:numId w:val="2"/>
              </w:numPr>
              <w:adjustRightInd w:val="0"/>
              <w:snapToGrid w:val="0"/>
              <w:ind w:left="357" w:hanging="357"/>
              <w:jc w:val="left"/>
              <w:rPr>
                <w:rFonts w:ascii="黑体" w:eastAsia="黑体"/>
              </w:rPr>
            </w:pPr>
            <w:r>
              <w:rPr>
                <w:rFonts w:hint="eastAsia" w:ascii="黑体" w:eastAsia="黑体" w:cs="黑体"/>
              </w:rPr>
              <w:t>本人已明白本确认书的告知事项，提供的上述银行账户正确、有效，请将诉讼费用退款转(汇)入上述银行账户。</w:t>
            </w:r>
          </w:p>
          <w:p>
            <w:pPr>
              <w:widowControl/>
              <w:numPr>
                <w:ilvl w:val="0"/>
                <w:numId w:val="2"/>
              </w:numPr>
              <w:adjustRightInd w:val="0"/>
              <w:snapToGrid w:val="0"/>
              <w:ind w:left="357" w:hanging="357"/>
              <w:jc w:val="left"/>
              <w:rPr>
                <w:rFonts w:ascii="黑体" w:eastAsia="黑体"/>
                <w:color w:val="auto"/>
              </w:rPr>
            </w:pPr>
            <w:r>
              <w:rPr>
                <w:rFonts w:hint="eastAsia" w:ascii="黑体" w:hAnsi="黑体" w:eastAsia="黑体" w:cs="黑体"/>
                <w:color w:val="auto"/>
              </w:rPr>
              <w:t>本人已明白本确认书的告知事项，提供的上述银行账户正确、有效，</w:t>
            </w:r>
            <w:r>
              <w:rPr>
                <w:rFonts w:hint="eastAsia" w:ascii="黑体" w:hAnsi="黑体" w:eastAsia="黑体" w:cs="黑体"/>
                <w:color w:val="auto"/>
                <w:lang w:val="en"/>
              </w:rPr>
              <w:t>同意债务人将生效裁判文书所确定</w:t>
            </w:r>
            <w:r>
              <w:rPr>
                <w:rFonts w:hint="eastAsia" w:ascii="黑体" w:hAnsi="黑体" w:eastAsia="黑体" w:cs="黑体"/>
                <w:b w:val="0"/>
                <w:bCs w:val="0"/>
                <w:color w:val="auto"/>
                <w:lang w:val="en"/>
              </w:rPr>
              <w:t>的</w:t>
            </w:r>
            <w:r>
              <w:rPr>
                <w:rFonts w:hint="eastAsia" w:ascii="黑体" w:hAnsi="黑体" w:eastAsia="黑体" w:cs="黑体"/>
                <w:b w:val="0"/>
                <w:bCs w:val="0"/>
                <w:color w:val="auto"/>
                <w:lang w:eastAsia="zh-CN"/>
              </w:rPr>
              <w:t>给付金钱义务</w:t>
            </w:r>
            <w:r>
              <w:rPr>
                <w:rFonts w:hint="eastAsia" w:ascii="黑体" w:hAnsi="黑体" w:eastAsia="黑体" w:cs="黑体"/>
                <w:b w:val="0"/>
                <w:bCs w:val="0"/>
                <w:color w:val="auto"/>
                <w:lang w:val="en"/>
              </w:rPr>
              <w:t>的款</w:t>
            </w:r>
            <w:r>
              <w:rPr>
                <w:rFonts w:hint="eastAsia" w:ascii="黑体" w:hAnsi="黑体" w:eastAsia="黑体" w:cs="黑体"/>
                <w:color w:val="auto"/>
                <w:lang w:val="en"/>
              </w:rPr>
              <w:t>项转（汇）入上述银行账户即视为履行</w:t>
            </w:r>
            <w:r>
              <w:rPr>
                <w:rFonts w:hint="default" w:ascii="黑体" w:eastAsia="黑体" w:cs="黑体"/>
                <w:color w:val="auto"/>
                <w:lang w:val="en"/>
              </w:rPr>
              <w:t>。</w:t>
            </w:r>
          </w:p>
          <w:p>
            <w:pPr>
              <w:widowControl/>
              <w:numPr>
                <w:ilvl w:val="0"/>
                <w:numId w:val="2"/>
              </w:numPr>
              <w:adjustRightInd w:val="0"/>
              <w:snapToGrid w:val="0"/>
              <w:ind w:left="357" w:hanging="357"/>
              <w:jc w:val="left"/>
              <w:rPr>
                <w:rFonts w:ascii="黑体" w:eastAsia="黑体"/>
              </w:rPr>
            </w:pPr>
            <w:r>
              <w:rPr>
                <w:rFonts w:hint="eastAsia" w:ascii="黑体" w:eastAsia="黑体" w:cs="黑体"/>
              </w:rPr>
              <w:t>本人已明白本确认书的告知事项，但无银行账户或不愿提供银行账户。</w:t>
            </w:r>
          </w:p>
          <w:p>
            <w:pPr>
              <w:widowControl/>
              <w:numPr>
                <w:ilvl w:val="0"/>
                <w:numId w:val="2"/>
              </w:numPr>
              <w:adjustRightInd w:val="0"/>
              <w:snapToGrid w:val="0"/>
              <w:ind w:left="357" w:hanging="357"/>
              <w:jc w:val="left"/>
              <w:rPr>
                <w:rFonts w:ascii="黑体" w:eastAsia="黑体"/>
              </w:rPr>
            </w:pPr>
            <w:r>
              <w:rPr>
                <w:rFonts w:hint="eastAsia" w:ascii="黑体" w:eastAsia="黑体" w:cs="黑体"/>
              </w:rPr>
              <w:t>本人已明白本确认书的告知事项，但自愿承担或者同意败诉方直接向本人支付且由本人已预交而不应负担的诉讼费用。</w:t>
            </w:r>
          </w:p>
          <w:p>
            <w:pPr>
              <w:adjustRightInd w:val="0"/>
              <w:snapToGrid w:val="0"/>
              <w:rPr>
                <w:rFonts w:ascii="黑体" w:eastAsia="黑体"/>
              </w:rPr>
            </w:pPr>
          </w:p>
          <w:p>
            <w:pPr>
              <w:adjustRightInd w:val="0"/>
              <w:snapToGrid w:val="0"/>
              <w:ind w:firstLine="945" w:firstLineChars="450"/>
              <w:rPr>
                <w:rFonts w:ascii="黑体" w:eastAsia="黑体"/>
              </w:rPr>
            </w:pPr>
            <w:r>
              <w:rPr>
                <w:rFonts w:hint="eastAsia" w:ascii="黑体" w:eastAsia="黑体" w:cs="黑体"/>
              </w:rPr>
              <w:t>当事人（代理人）签名或盖章：</w:t>
            </w:r>
          </w:p>
          <w:p>
            <w:pPr>
              <w:adjustRightInd w:val="0"/>
              <w:snapToGrid w:val="0"/>
              <w:ind w:firstLine="3780" w:firstLineChars="1800"/>
              <w:rPr>
                <w:rFonts w:ascii="黑体" w:eastAsia="黑体"/>
              </w:rPr>
            </w:pPr>
          </w:p>
          <w:p>
            <w:pPr>
              <w:wordWrap w:val="0"/>
              <w:adjustRightInd w:val="0"/>
              <w:snapToGrid w:val="0"/>
              <w:ind w:firstLine="4410" w:firstLineChars="2100"/>
              <w:jc w:val="right"/>
              <w:rPr>
                <w:rFonts w:hint="default" w:ascii="黑体" w:eastAsia="黑体"/>
                <w:sz w:val="28"/>
                <w:szCs w:val="28"/>
                <w:lang w:val="en-US" w:eastAsia="zh-CN"/>
              </w:rPr>
            </w:pPr>
            <w:r>
              <w:rPr>
                <w:rFonts w:hint="eastAsia" w:ascii="黑体" w:eastAsia="黑体" w:cs="黑体"/>
              </w:rPr>
              <w:t xml:space="preserve">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86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b/>
                <w:bCs/>
                <w:sz w:val="28"/>
                <w:szCs w:val="28"/>
              </w:rPr>
            </w:pPr>
            <w:r>
              <w:rPr>
                <w:rFonts w:hint="eastAsia" w:ascii="宋体" w:cs="仿宋_GB2312"/>
                <w:b/>
                <w:bCs/>
                <w:sz w:val="28"/>
                <w:szCs w:val="28"/>
              </w:rPr>
              <w:t>备注</w:t>
            </w:r>
          </w:p>
        </w:tc>
        <w:tc>
          <w:tcPr>
            <w:tcW w:w="8394"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rPr>
                <w:rFonts w:hint="default" w:ascii="黑体" w:eastAsia="黑体"/>
                <w:sz w:val="30"/>
                <w:szCs w:val="30"/>
                <w:lang w:val="en-US"/>
              </w:rPr>
            </w:pPr>
          </w:p>
        </w:tc>
      </w:tr>
    </w:tbl>
    <w:p>
      <w:pPr>
        <w:keepNext w:val="0"/>
        <w:keepLines w:val="0"/>
        <w:pageBreakBefore w:val="0"/>
        <w:widowControl w:val="0"/>
        <w:kinsoku/>
        <w:wordWrap/>
        <w:overflowPunct/>
        <w:topLinePunct w:val="0"/>
        <w:autoSpaceDE/>
        <w:autoSpaceDN/>
        <w:adjustRightInd w:val="0"/>
        <w:snapToGrid/>
        <w:spacing w:line="240" w:lineRule="atLeast"/>
        <w:ind w:right="0" w:rightChars="0"/>
        <w:jc w:val="both"/>
        <w:textAlignment w:val="auto"/>
        <w:outlineLvl w:val="9"/>
        <w:rPr>
          <w:rFonts w:hint="eastAsia" w:ascii="仿宋" w:hAnsi="仿宋" w:eastAsia="仿宋"/>
          <w:sz w:val="21"/>
          <w:szCs w:val="21"/>
          <w:lang w:val="en-US" w:eastAsia="zh-CN"/>
        </w:rPr>
      </w:pPr>
    </w:p>
    <w:sectPr>
      <w:footerReference r:id="rId4" w:type="default"/>
      <w:headerReference r:id="rId3" w:type="even"/>
      <w:footerReference r:id="rId5" w:type="even"/>
      <w:pgSz w:w="11907" w:h="16840"/>
      <w:pgMar w:top="2041" w:right="1531" w:bottom="2041" w:left="1531" w:header="851" w:footer="1531"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Consolas">
    <w:altName w:val="Noto Sans Mono"/>
    <w:panose1 w:val="020B0609020204030204"/>
    <w:charset w:val="00"/>
    <w:family w:val="auto"/>
    <w:pitch w:val="default"/>
    <w:sig w:usb0="00000000" w:usb1="00000000" w:usb2="00000009" w:usb3="00000000" w:csb0="6000019F" w:csb1="DFD7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DejaVu Sans">
    <w:panose1 w:val="020B0603030804020204"/>
    <w:charset w:val="00"/>
    <w:family w:val="auto"/>
    <w:pitch w:val="default"/>
    <w:sig w:usb0="E7006EFF" w:usb1="D200FDFF" w:usb2="0A246029" w:usb3="0400200C" w:csb0="600001FF" w:csb1="DFFF0000"/>
  </w:font>
  <w:font w:name="Noto Sans Mono">
    <w:panose1 w:val="020B0509040504020204"/>
    <w:charset w:val="00"/>
    <w:family w:val="auto"/>
    <w:pitch w:val="default"/>
    <w:sig w:usb0="E00002FF" w:usb1="4200FCFF" w:usb2="08000039" w:usb3="00100000" w:csb0="000001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spacing w:line="560" w:lineRule="exact"/>
      <w:rPr>
        <w:rFonts w:ascii="宋体" w:hAnsi="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560" w:lineRule="exact"/>
      <w:ind w:firstLine="280" w:firstLineChars="100"/>
      <w:rPr>
        <w:rFonts w:ascii="宋体" w:hAnsi="宋体"/>
        <w:sz w:val="28"/>
        <w:szCs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011E8E"/>
    <w:multiLevelType w:val="multilevel"/>
    <w:tmpl w:val="1B011E8E"/>
    <w:lvl w:ilvl="0" w:tentative="0">
      <w:start w:val="5"/>
      <w:numFmt w:val="bullet"/>
      <w:lvlText w:val="□"/>
      <w:lvlJc w:val="left"/>
      <w:pPr>
        <w:tabs>
          <w:tab w:val="left" w:pos="0"/>
        </w:tabs>
        <w:ind w:left="360" w:hanging="360"/>
      </w:pPr>
      <w:rPr>
        <w:rFonts w:hint="eastAsia" w:ascii="黑体" w:hAnsi="黑体" w:eastAsia="黑体"/>
      </w:rPr>
    </w:lvl>
    <w:lvl w:ilvl="1" w:tentative="0">
      <w:start w:val="1"/>
      <w:numFmt w:val="bullet"/>
      <w:lvlText w:val=""/>
      <w:lvlJc w:val="left"/>
      <w:pPr>
        <w:tabs>
          <w:tab w:val="left" w:pos="0"/>
        </w:tabs>
        <w:ind w:left="840" w:hanging="420"/>
      </w:pPr>
      <w:rPr>
        <w:rFonts w:hint="default" w:ascii="Wingdings" w:hAnsi="Wingdings"/>
      </w:rPr>
    </w:lvl>
    <w:lvl w:ilvl="2" w:tentative="0">
      <w:start w:val="1"/>
      <w:numFmt w:val="bullet"/>
      <w:lvlText w:val=""/>
      <w:lvlJc w:val="left"/>
      <w:pPr>
        <w:tabs>
          <w:tab w:val="left" w:pos="0"/>
        </w:tabs>
        <w:ind w:left="1260" w:hanging="420"/>
      </w:pPr>
      <w:rPr>
        <w:rFonts w:hint="default" w:ascii="Wingdings" w:hAnsi="Wingdings"/>
      </w:rPr>
    </w:lvl>
    <w:lvl w:ilvl="3" w:tentative="0">
      <w:start w:val="1"/>
      <w:numFmt w:val="bullet"/>
      <w:lvlText w:val=""/>
      <w:lvlJc w:val="left"/>
      <w:pPr>
        <w:tabs>
          <w:tab w:val="left" w:pos="0"/>
        </w:tabs>
        <w:ind w:left="1680" w:hanging="420"/>
      </w:pPr>
      <w:rPr>
        <w:rFonts w:hint="default" w:ascii="Wingdings" w:hAnsi="Wingdings"/>
      </w:rPr>
    </w:lvl>
    <w:lvl w:ilvl="4" w:tentative="0">
      <w:start w:val="1"/>
      <w:numFmt w:val="bullet"/>
      <w:lvlText w:val=""/>
      <w:lvlJc w:val="left"/>
      <w:pPr>
        <w:tabs>
          <w:tab w:val="left" w:pos="0"/>
        </w:tabs>
        <w:ind w:left="2100" w:hanging="420"/>
      </w:pPr>
      <w:rPr>
        <w:rFonts w:hint="default" w:ascii="Wingdings" w:hAnsi="Wingdings"/>
      </w:rPr>
    </w:lvl>
    <w:lvl w:ilvl="5" w:tentative="0">
      <w:start w:val="1"/>
      <w:numFmt w:val="bullet"/>
      <w:lvlText w:val=""/>
      <w:lvlJc w:val="left"/>
      <w:pPr>
        <w:tabs>
          <w:tab w:val="left" w:pos="0"/>
        </w:tabs>
        <w:ind w:left="2520" w:hanging="420"/>
      </w:pPr>
      <w:rPr>
        <w:rFonts w:hint="default" w:ascii="Wingdings" w:hAnsi="Wingdings"/>
      </w:rPr>
    </w:lvl>
    <w:lvl w:ilvl="6" w:tentative="0">
      <w:start w:val="1"/>
      <w:numFmt w:val="bullet"/>
      <w:lvlText w:val=""/>
      <w:lvlJc w:val="left"/>
      <w:pPr>
        <w:tabs>
          <w:tab w:val="left" w:pos="0"/>
        </w:tabs>
        <w:ind w:left="2940" w:hanging="420"/>
      </w:pPr>
      <w:rPr>
        <w:rFonts w:hint="default" w:ascii="Wingdings" w:hAnsi="Wingdings"/>
      </w:rPr>
    </w:lvl>
    <w:lvl w:ilvl="7" w:tentative="0">
      <w:start w:val="1"/>
      <w:numFmt w:val="bullet"/>
      <w:lvlText w:val=""/>
      <w:lvlJc w:val="left"/>
      <w:pPr>
        <w:tabs>
          <w:tab w:val="left" w:pos="0"/>
        </w:tabs>
        <w:ind w:left="3360" w:hanging="420"/>
      </w:pPr>
      <w:rPr>
        <w:rFonts w:hint="default" w:ascii="Wingdings" w:hAnsi="Wingdings"/>
      </w:rPr>
    </w:lvl>
    <w:lvl w:ilvl="8" w:tentative="0">
      <w:start w:val="1"/>
      <w:numFmt w:val="bullet"/>
      <w:lvlText w:val=""/>
      <w:lvlJc w:val="left"/>
      <w:pPr>
        <w:tabs>
          <w:tab w:val="left" w:pos="0"/>
        </w:tabs>
        <w:ind w:left="3780" w:hanging="420"/>
      </w:pPr>
      <w:rPr>
        <w:rFonts w:hint="default" w:ascii="Wingdings" w:hAnsi="Wingdings"/>
      </w:rPr>
    </w:lvl>
  </w:abstractNum>
  <w:abstractNum w:abstractNumId="1">
    <w:nsid w:val="1FBFD507"/>
    <w:multiLevelType w:val="singleLevel"/>
    <w:tmpl w:val="1FBFD507"/>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hyphenationZone w:val="360"/>
  <w:evenAndOddHeaders w:val="true"/>
  <w:drawingGridHorizontalSpacing w:val="105"/>
  <w:drawingGridVerticalSpacing w:val="156"/>
  <w:displayHorizontalDrawingGridEvery w:val="1"/>
  <w:displayVerticalDrawingGridEvery w:val="1"/>
  <w:noPunctuationKerning w:val="true"/>
  <w:characterSpacingControl w:val="doNotCompress"/>
  <w:noLineBreaksAfter w:lang="zh-CN" w:val="([{·‘“〈《「『【〔〖（．［｛￡￥"/>
  <w:noLineBreaksBefore w:lang="zh-CN" w:val="!),.:;?]}¨·ˇˉ―‖’”…∶、。〃々〉》」』】〕〗！＂＇），．：；？］｀｜｝～￠"/>
  <w:doNotValidateAgainstSchema/>
  <w:doNotDemarcateInvalidXml/>
  <w:compat>
    <w:spaceForUL/>
    <w:doNotLeaveBackslashAlon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DM2NDYytjQ2M7GwMLNU0lEKTi0uzszPAykwqQUAG+x1cSwAAAA="/>
  </w:docVars>
  <w:rsids>
    <w:rsidRoot w:val="00172A27"/>
    <w:rsid w:val="000515E7"/>
    <w:rsid w:val="000567E1"/>
    <w:rsid w:val="00074862"/>
    <w:rsid w:val="00085EB1"/>
    <w:rsid w:val="00093C66"/>
    <w:rsid w:val="000A0007"/>
    <w:rsid w:val="000B4913"/>
    <w:rsid w:val="000C38F3"/>
    <w:rsid w:val="000F4E04"/>
    <w:rsid w:val="000F77CE"/>
    <w:rsid w:val="00123616"/>
    <w:rsid w:val="00124738"/>
    <w:rsid w:val="00126AD1"/>
    <w:rsid w:val="00143618"/>
    <w:rsid w:val="00144DFD"/>
    <w:rsid w:val="001556E5"/>
    <w:rsid w:val="00176887"/>
    <w:rsid w:val="00185FAE"/>
    <w:rsid w:val="00190D85"/>
    <w:rsid w:val="001A010C"/>
    <w:rsid w:val="001B32D8"/>
    <w:rsid w:val="001B6EBE"/>
    <w:rsid w:val="001C4346"/>
    <w:rsid w:val="001D00C2"/>
    <w:rsid w:val="001D5C55"/>
    <w:rsid w:val="001D5ED0"/>
    <w:rsid w:val="00215AC6"/>
    <w:rsid w:val="00234D5E"/>
    <w:rsid w:val="00260A26"/>
    <w:rsid w:val="00287C5F"/>
    <w:rsid w:val="00296E79"/>
    <w:rsid w:val="002A7027"/>
    <w:rsid w:val="002C2B86"/>
    <w:rsid w:val="002C388E"/>
    <w:rsid w:val="002E2C43"/>
    <w:rsid w:val="00325B03"/>
    <w:rsid w:val="00377FEB"/>
    <w:rsid w:val="003969FE"/>
    <w:rsid w:val="003A3AB3"/>
    <w:rsid w:val="003B07ED"/>
    <w:rsid w:val="003D1C98"/>
    <w:rsid w:val="003E2245"/>
    <w:rsid w:val="004325E1"/>
    <w:rsid w:val="00432D48"/>
    <w:rsid w:val="00446120"/>
    <w:rsid w:val="00456524"/>
    <w:rsid w:val="0046734D"/>
    <w:rsid w:val="00483DE3"/>
    <w:rsid w:val="004912F4"/>
    <w:rsid w:val="004B7569"/>
    <w:rsid w:val="004C7585"/>
    <w:rsid w:val="004F4421"/>
    <w:rsid w:val="0051660A"/>
    <w:rsid w:val="005313F6"/>
    <w:rsid w:val="0055443E"/>
    <w:rsid w:val="005A6979"/>
    <w:rsid w:val="005B517A"/>
    <w:rsid w:val="005C2D3E"/>
    <w:rsid w:val="005D488B"/>
    <w:rsid w:val="005E402F"/>
    <w:rsid w:val="005F13E7"/>
    <w:rsid w:val="006118F9"/>
    <w:rsid w:val="00612C7F"/>
    <w:rsid w:val="00646358"/>
    <w:rsid w:val="0064770A"/>
    <w:rsid w:val="00674A77"/>
    <w:rsid w:val="0069238B"/>
    <w:rsid w:val="00697574"/>
    <w:rsid w:val="006A65E0"/>
    <w:rsid w:val="006C3A26"/>
    <w:rsid w:val="006F001A"/>
    <w:rsid w:val="006F0978"/>
    <w:rsid w:val="006F116E"/>
    <w:rsid w:val="006F5D6A"/>
    <w:rsid w:val="006F5FEA"/>
    <w:rsid w:val="00706646"/>
    <w:rsid w:val="00714775"/>
    <w:rsid w:val="00714F47"/>
    <w:rsid w:val="00761955"/>
    <w:rsid w:val="00761EC9"/>
    <w:rsid w:val="0077150D"/>
    <w:rsid w:val="00787DFB"/>
    <w:rsid w:val="00791DB5"/>
    <w:rsid w:val="00792C2E"/>
    <w:rsid w:val="007E4A2A"/>
    <w:rsid w:val="0080344B"/>
    <w:rsid w:val="0080462C"/>
    <w:rsid w:val="00805B10"/>
    <w:rsid w:val="008154D3"/>
    <w:rsid w:val="00822899"/>
    <w:rsid w:val="00830D55"/>
    <w:rsid w:val="008334A9"/>
    <w:rsid w:val="00836F59"/>
    <w:rsid w:val="00837058"/>
    <w:rsid w:val="00852BB8"/>
    <w:rsid w:val="008616F3"/>
    <w:rsid w:val="0086320E"/>
    <w:rsid w:val="0088501B"/>
    <w:rsid w:val="008931EB"/>
    <w:rsid w:val="008C5F23"/>
    <w:rsid w:val="008D2AC8"/>
    <w:rsid w:val="008F2219"/>
    <w:rsid w:val="00907F4C"/>
    <w:rsid w:val="00910547"/>
    <w:rsid w:val="0094069B"/>
    <w:rsid w:val="009521E2"/>
    <w:rsid w:val="00961320"/>
    <w:rsid w:val="0097219B"/>
    <w:rsid w:val="00974EBD"/>
    <w:rsid w:val="009751ED"/>
    <w:rsid w:val="00975719"/>
    <w:rsid w:val="009933D9"/>
    <w:rsid w:val="009B1E7C"/>
    <w:rsid w:val="009B5660"/>
    <w:rsid w:val="00A26D7B"/>
    <w:rsid w:val="00A438C0"/>
    <w:rsid w:val="00A82FC0"/>
    <w:rsid w:val="00AF0E2C"/>
    <w:rsid w:val="00AF6FAB"/>
    <w:rsid w:val="00B366C1"/>
    <w:rsid w:val="00B462C6"/>
    <w:rsid w:val="00B54ACD"/>
    <w:rsid w:val="00B61ED4"/>
    <w:rsid w:val="00B803A2"/>
    <w:rsid w:val="00BC112F"/>
    <w:rsid w:val="00BD6460"/>
    <w:rsid w:val="00C86D49"/>
    <w:rsid w:val="00C86D73"/>
    <w:rsid w:val="00C93231"/>
    <w:rsid w:val="00C93C7F"/>
    <w:rsid w:val="00C97AB4"/>
    <w:rsid w:val="00CC363B"/>
    <w:rsid w:val="00CF1567"/>
    <w:rsid w:val="00D1167C"/>
    <w:rsid w:val="00D21981"/>
    <w:rsid w:val="00D22E28"/>
    <w:rsid w:val="00D32587"/>
    <w:rsid w:val="00D4472E"/>
    <w:rsid w:val="00D533E6"/>
    <w:rsid w:val="00D67D2D"/>
    <w:rsid w:val="00D74946"/>
    <w:rsid w:val="00DC1E6E"/>
    <w:rsid w:val="00DF16E3"/>
    <w:rsid w:val="00E106AE"/>
    <w:rsid w:val="00E1626C"/>
    <w:rsid w:val="00E256DF"/>
    <w:rsid w:val="00E31015"/>
    <w:rsid w:val="00E4149B"/>
    <w:rsid w:val="00E50E98"/>
    <w:rsid w:val="00E51A66"/>
    <w:rsid w:val="00E90CC0"/>
    <w:rsid w:val="00ED43CA"/>
    <w:rsid w:val="00ED6FDF"/>
    <w:rsid w:val="00F01CCE"/>
    <w:rsid w:val="00F060E6"/>
    <w:rsid w:val="00F1037D"/>
    <w:rsid w:val="00F11951"/>
    <w:rsid w:val="00F60ED0"/>
    <w:rsid w:val="00F62EFF"/>
    <w:rsid w:val="00F771DB"/>
    <w:rsid w:val="00F90374"/>
    <w:rsid w:val="00F94866"/>
    <w:rsid w:val="00FA1387"/>
    <w:rsid w:val="00FA6201"/>
    <w:rsid w:val="00FA7740"/>
    <w:rsid w:val="00FC773B"/>
    <w:rsid w:val="00FF6B8E"/>
    <w:rsid w:val="01462C9A"/>
    <w:rsid w:val="031A648B"/>
    <w:rsid w:val="058127F1"/>
    <w:rsid w:val="07FF1807"/>
    <w:rsid w:val="08743BF8"/>
    <w:rsid w:val="090A4BA0"/>
    <w:rsid w:val="098A0FFD"/>
    <w:rsid w:val="09987C12"/>
    <w:rsid w:val="0AD2589D"/>
    <w:rsid w:val="0B8A11A4"/>
    <w:rsid w:val="0D196520"/>
    <w:rsid w:val="0F411414"/>
    <w:rsid w:val="0F8436E2"/>
    <w:rsid w:val="109F104F"/>
    <w:rsid w:val="13252313"/>
    <w:rsid w:val="13BC3A67"/>
    <w:rsid w:val="1433343A"/>
    <w:rsid w:val="15CD1A95"/>
    <w:rsid w:val="15F81A60"/>
    <w:rsid w:val="1684391D"/>
    <w:rsid w:val="180B1276"/>
    <w:rsid w:val="1839240A"/>
    <w:rsid w:val="18942D08"/>
    <w:rsid w:val="18F62DAF"/>
    <w:rsid w:val="192407D8"/>
    <w:rsid w:val="19983543"/>
    <w:rsid w:val="1AB5267A"/>
    <w:rsid w:val="1DE04BE9"/>
    <w:rsid w:val="1E7F72FF"/>
    <w:rsid w:val="21673060"/>
    <w:rsid w:val="21F029C5"/>
    <w:rsid w:val="22777734"/>
    <w:rsid w:val="241D144D"/>
    <w:rsid w:val="24E451C1"/>
    <w:rsid w:val="25442646"/>
    <w:rsid w:val="254D2286"/>
    <w:rsid w:val="25D6228E"/>
    <w:rsid w:val="26D37FD3"/>
    <w:rsid w:val="278B69B0"/>
    <w:rsid w:val="28215D7B"/>
    <w:rsid w:val="28D06252"/>
    <w:rsid w:val="29E61A1A"/>
    <w:rsid w:val="2BAA624C"/>
    <w:rsid w:val="2C1C1E03"/>
    <w:rsid w:val="2CBB2298"/>
    <w:rsid w:val="2E3F516A"/>
    <w:rsid w:val="2FF2047C"/>
    <w:rsid w:val="300B6BE0"/>
    <w:rsid w:val="302E23C5"/>
    <w:rsid w:val="3079791E"/>
    <w:rsid w:val="31786334"/>
    <w:rsid w:val="33E7133D"/>
    <w:rsid w:val="38855A49"/>
    <w:rsid w:val="38957599"/>
    <w:rsid w:val="38C72A04"/>
    <w:rsid w:val="39676B1D"/>
    <w:rsid w:val="3A2B44FE"/>
    <w:rsid w:val="3AD5E641"/>
    <w:rsid w:val="3E746C1A"/>
    <w:rsid w:val="3E761C4F"/>
    <w:rsid w:val="3EAA4A97"/>
    <w:rsid w:val="410569B2"/>
    <w:rsid w:val="431379FA"/>
    <w:rsid w:val="43F671D3"/>
    <w:rsid w:val="45CA41AD"/>
    <w:rsid w:val="46265B7A"/>
    <w:rsid w:val="48496326"/>
    <w:rsid w:val="48E97A45"/>
    <w:rsid w:val="4B726877"/>
    <w:rsid w:val="4C9607D7"/>
    <w:rsid w:val="4D310D32"/>
    <w:rsid w:val="4F042F66"/>
    <w:rsid w:val="4F5E138C"/>
    <w:rsid w:val="4FC423BE"/>
    <w:rsid w:val="504428BE"/>
    <w:rsid w:val="50455F7B"/>
    <w:rsid w:val="510D2307"/>
    <w:rsid w:val="531B3524"/>
    <w:rsid w:val="535621DC"/>
    <w:rsid w:val="54B7B272"/>
    <w:rsid w:val="54DE4DFB"/>
    <w:rsid w:val="562D35D1"/>
    <w:rsid w:val="56DE4097"/>
    <w:rsid w:val="57816D63"/>
    <w:rsid w:val="59070E1D"/>
    <w:rsid w:val="596B0B42"/>
    <w:rsid w:val="598E01AE"/>
    <w:rsid w:val="5B087D62"/>
    <w:rsid w:val="5DBF0CC4"/>
    <w:rsid w:val="5DF62624"/>
    <w:rsid w:val="5F4C1A4B"/>
    <w:rsid w:val="60AA663C"/>
    <w:rsid w:val="61504926"/>
    <w:rsid w:val="6251055B"/>
    <w:rsid w:val="62526029"/>
    <w:rsid w:val="6741091B"/>
    <w:rsid w:val="6A1332EB"/>
    <w:rsid w:val="6CC10710"/>
    <w:rsid w:val="6DC463A3"/>
    <w:rsid w:val="6E6262F5"/>
    <w:rsid w:val="6FFF8017"/>
    <w:rsid w:val="76A828B9"/>
    <w:rsid w:val="77DF1CBA"/>
    <w:rsid w:val="78E46362"/>
    <w:rsid w:val="796E0D55"/>
    <w:rsid w:val="79BB4445"/>
    <w:rsid w:val="7B330086"/>
    <w:rsid w:val="7B5224A5"/>
    <w:rsid w:val="7BDA646D"/>
    <w:rsid w:val="7C010E9B"/>
    <w:rsid w:val="7D014DB4"/>
    <w:rsid w:val="7FBA6B9A"/>
    <w:rsid w:val="CC9113E0"/>
    <w:rsid w:val="DFF27C2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uiPriority="99" w:name="HTML Variable"/>
    <w:lsdException w:qFormat="1" w:unhideWhenUsed="0" w:uiPriority="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semiHidden/>
    <w:qFormat/>
    <w:uiPriority w:val="0"/>
    <w:pPr>
      <w:pBdr>
        <w:bottom w:val="single" w:color="auto" w:sz="6" w:space="1"/>
      </w:pBdr>
      <w:tabs>
        <w:tab w:val="center" w:pos="4153"/>
        <w:tab w:val="right" w:pos="8306"/>
      </w:tabs>
      <w:snapToGrid w:val="0"/>
      <w:jc w:val="center"/>
    </w:pPr>
    <w:rPr>
      <w:sz w:val="18"/>
      <w:szCs w:val="18"/>
    </w:rPr>
  </w:style>
  <w:style w:type="character" w:styleId="6">
    <w:name w:val="Strong"/>
    <w:basedOn w:val="5"/>
    <w:qFormat/>
    <w:uiPriority w:val="22"/>
    <w:rPr>
      <w:b/>
    </w:rPr>
  </w:style>
  <w:style w:type="character" w:styleId="7">
    <w:name w:val="FollowedHyperlink"/>
    <w:basedOn w:val="5"/>
    <w:unhideWhenUsed/>
    <w:qFormat/>
    <w:uiPriority w:val="99"/>
    <w:rPr>
      <w:color w:val="1890FF"/>
      <w:u w:val="none"/>
    </w:rPr>
  </w:style>
  <w:style w:type="character" w:styleId="8">
    <w:name w:val="HTML Definition"/>
    <w:basedOn w:val="5"/>
    <w:unhideWhenUsed/>
    <w:qFormat/>
    <w:uiPriority w:val="99"/>
    <w:rPr>
      <w:i/>
    </w:rPr>
  </w:style>
  <w:style w:type="character" w:styleId="9">
    <w:name w:val="Hyperlink"/>
    <w:basedOn w:val="5"/>
    <w:unhideWhenUsed/>
    <w:qFormat/>
    <w:uiPriority w:val="99"/>
    <w:rPr>
      <w:color w:val="1890FF"/>
      <w:u w:val="none"/>
    </w:rPr>
  </w:style>
  <w:style w:type="character" w:styleId="10">
    <w:name w:val="HTML Code"/>
    <w:basedOn w:val="5"/>
    <w:unhideWhenUsed/>
    <w:qFormat/>
    <w:uiPriority w:val="99"/>
    <w:rPr>
      <w:rFonts w:hint="default" w:ascii="Consolas" w:hAnsi="Consolas" w:eastAsia="Consolas" w:cs="Consolas"/>
      <w:sz w:val="21"/>
      <w:szCs w:val="21"/>
    </w:rPr>
  </w:style>
  <w:style w:type="character" w:styleId="11">
    <w:name w:val="HTML Keyboard"/>
    <w:basedOn w:val="5"/>
    <w:unhideWhenUsed/>
    <w:qFormat/>
    <w:uiPriority w:val="99"/>
    <w:rPr>
      <w:rFonts w:hint="default" w:ascii="Consolas" w:hAnsi="Consolas" w:eastAsia="Consolas" w:cs="Consolas"/>
      <w:sz w:val="21"/>
      <w:szCs w:val="21"/>
    </w:rPr>
  </w:style>
  <w:style w:type="character" w:styleId="12">
    <w:name w:val="HTML Sample"/>
    <w:basedOn w:val="5"/>
    <w:unhideWhenUsed/>
    <w:qFormat/>
    <w:uiPriority w:val="99"/>
    <w:rPr>
      <w:rFonts w:ascii="Consolas" w:hAnsi="Consolas" w:eastAsia="Consolas" w:cs="Consolas"/>
      <w:sz w:val="21"/>
      <w:szCs w:val="21"/>
    </w:rPr>
  </w:style>
  <w:style w:type="character" w:customStyle="1" w:styleId="13">
    <w:name w:val="页脚字符"/>
    <w:qFormat/>
    <w:uiPriority w:val="0"/>
    <w:rPr>
      <w:kern w:val="2"/>
      <w:sz w:val="18"/>
      <w:szCs w:val="18"/>
    </w:rPr>
  </w:style>
  <w:style w:type="character" w:customStyle="1" w:styleId="14">
    <w:name w:val="Footer Char"/>
    <w:qFormat/>
    <w:locked/>
    <w:uiPriority w:val="0"/>
    <w:rPr>
      <w:rFonts w:cs="Times New Roman"/>
      <w:sz w:val="18"/>
      <w:szCs w:val="18"/>
    </w:rPr>
  </w:style>
  <w:style w:type="character" w:customStyle="1" w:styleId="15">
    <w:name w:val="Header Char"/>
    <w:semiHidden/>
    <w:qFormat/>
    <w:locked/>
    <w:uiPriority w:val="0"/>
    <w:rPr>
      <w:rFonts w:cs="Times New Roman"/>
      <w:sz w:val="18"/>
      <w:szCs w:val="18"/>
    </w:rPr>
  </w:style>
  <w:style w:type="character" w:customStyle="1" w:styleId="16">
    <w:name w:val="ant-select-tree-switcher"/>
    <w:basedOn w:val="5"/>
    <w:qFormat/>
    <w:uiPriority w:val="0"/>
  </w:style>
  <w:style w:type="character" w:customStyle="1" w:styleId="17">
    <w:name w:val="ant-tree-checkbox"/>
    <w:basedOn w:val="5"/>
    <w:qFormat/>
    <w:uiPriority w:val="0"/>
  </w:style>
  <w:style w:type="character" w:customStyle="1" w:styleId="18">
    <w:name w:val="ant-tree-iconele"/>
    <w:basedOn w:val="5"/>
    <w:qFormat/>
    <w:uiPriority w:val="0"/>
  </w:style>
  <w:style w:type="character" w:customStyle="1" w:styleId="19">
    <w:name w:val="ant-tree-switcher"/>
    <w:basedOn w:val="5"/>
    <w:qFormat/>
    <w:uiPriority w:val="0"/>
  </w:style>
  <w:style w:type="character" w:customStyle="1" w:styleId="20">
    <w:name w:val="ant-radio+*"/>
    <w:basedOn w:val="5"/>
    <w:qFormat/>
    <w:uiPriority w:val="0"/>
  </w:style>
  <w:style w:type="character" w:customStyle="1" w:styleId="21">
    <w:name w:val="ant-select-tree-checkbox2"/>
    <w:basedOn w:val="5"/>
    <w:qFormat/>
    <w:uiPriority w:val="0"/>
  </w:style>
  <w:style w:type="character" w:customStyle="1" w:styleId="22">
    <w:name w:val="ant-select-tree-iconele"/>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39</Words>
  <Characters>226</Characters>
  <Lines>1</Lines>
  <Paragraphs>1</Paragraphs>
  <TotalTime>31</TotalTime>
  <ScaleCrop>false</ScaleCrop>
  <LinksUpToDate>false</LinksUpToDate>
  <CharactersWithSpaces>264</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2017-04-14T01:39:00Z</dcterms:created>
  <dc:creator>Apache POI</dc:creator>
  <cp:lastModifiedBy>阮婷婷</cp:lastModifiedBy>
  <cp:lastPrinted>2023-11-02T16:02:55Z</cp:lastPrinted>
  <dcterms:modified xsi:type="dcterms:W3CDTF">2023-11-02T16:41:58Z</dcterms:modified>
  <dc:title>云南省玉溪市中级人民法院</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C7C90CCD535CA7C3C13CF864C57E562F</vt:lpwstr>
  </property>
</Properties>
</file>